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35E54693"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0433E0">
        <w:t>1</w:t>
      </w:r>
      <w:r w:rsidR="008F1DC7">
        <w:t>7</w:t>
      </w:r>
      <w:r>
        <w:t xml:space="preserve">. února </w:t>
      </w:r>
      <w:r w:rsidRPr="00893890">
        <w:t>202</w:t>
      </w:r>
      <w:r>
        <w:t>6</w:t>
      </w:r>
    </w:p>
    <w:p w14:paraId="50D10091" w14:textId="77777777" w:rsidR="00361FE1" w:rsidRDefault="00361FE1" w:rsidP="00361FE1">
      <w:pPr>
        <w:spacing w:line="360" w:lineRule="auto"/>
        <w:rPr>
          <w:b/>
          <w:bCs/>
          <w:kern w:val="28"/>
          <w:sz w:val="28"/>
          <w:szCs w:val="28"/>
        </w:rPr>
      </w:pPr>
    </w:p>
    <w:p w14:paraId="0AEC1606" w14:textId="77777777" w:rsidR="000433E0" w:rsidRPr="000433E0" w:rsidRDefault="000433E0" w:rsidP="000433E0">
      <w:pPr>
        <w:rPr>
          <w:b/>
          <w:bCs/>
          <w:kern w:val="28"/>
          <w:sz w:val="28"/>
          <w:szCs w:val="28"/>
        </w:rPr>
      </w:pPr>
      <w:r w:rsidRPr="000433E0">
        <w:rPr>
          <w:b/>
          <w:bCs/>
          <w:kern w:val="28"/>
          <w:sz w:val="28"/>
          <w:szCs w:val="28"/>
        </w:rPr>
        <w:t>Japonské akcie: Optimismus dostává pevnější základ</w:t>
      </w:r>
    </w:p>
    <w:p w14:paraId="1E158AFF" w14:textId="77777777" w:rsidR="000433E0" w:rsidRPr="000433E0" w:rsidRDefault="000433E0" w:rsidP="000433E0">
      <w:pPr>
        <w:rPr>
          <w:b/>
          <w:bCs/>
          <w:kern w:val="28"/>
          <w:sz w:val="28"/>
          <w:szCs w:val="28"/>
        </w:rPr>
      </w:pPr>
      <w:r w:rsidRPr="000433E0">
        <w:rPr>
          <w:b/>
          <w:bCs/>
          <w:kern w:val="28"/>
          <w:sz w:val="28"/>
          <w:szCs w:val="28"/>
        </w:rPr>
        <w:t>Drtivé vítězství premiérky Sanei Takaichi v předčasných volbách posiluje důvěru investorů v další fázi japonského ekonomického obratu.</w:t>
      </w:r>
    </w:p>
    <w:p w14:paraId="5D45F989" w14:textId="77777777" w:rsidR="000433E0" w:rsidRPr="000433E0" w:rsidRDefault="000433E0" w:rsidP="000433E0">
      <w:pPr>
        <w:rPr>
          <w:b/>
          <w:bCs/>
          <w:color w:val="000000" w:themeColor="text1"/>
        </w:rPr>
      </w:pPr>
      <w:hyperlink r:id="rId11" w:history="1">
        <w:r w:rsidRPr="000433E0">
          <w:rPr>
            <w:rStyle w:val="Hypertextovodkaz"/>
            <w:b/>
            <w:bCs/>
            <w:color w:val="000000" w:themeColor="text1"/>
            <w:u w:val="none"/>
          </w:rPr>
          <w:t>Miyuki Kashima</w:t>
        </w:r>
      </w:hyperlink>
    </w:p>
    <w:p w14:paraId="6082E90A" w14:textId="77777777" w:rsidR="000433E0" w:rsidRPr="000433E0" w:rsidRDefault="000433E0" w:rsidP="000433E0">
      <w:r w:rsidRPr="000433E0">
        <w:t>Předčasné parlamentní volby daly premiérce Sanee Takaichi značný politický mandát k podpoře ekonomiky. Liberálně-demokratická strana (LDP) nyní kontroluje více než dvě třetiny křesel v dolní komoře parlamentu a spolu s koaliční Stranou japonské inovace disponuje až 352 mandáty. Politická stabilita tak výrazně vzrostla. Klíčová otázka zní: podaří se navázat na dosavadní tempo při vyvádění jedné z největších ekonomik světa z vleklé deflace a strukturálně slabého růstu?</w:t>
      </w:r>
    </w:p>
    <w:p w14:paraId="19331088" w14:textId="77777777" w:rsidR="000433E0" w:rsidRPr="000433E0" w:rsidRDefault="000433E0" w:rsidP="000433E0">
      <w:r w:rsidRPr="000433E0">
        <w:t>Z pohledu akciových trhů je výsledek voleb jednoznačně pozitivní. Snižuje politickou nejistotu a zvyšuje pravděpodobnost krátkodobé fiskální podpory. Firmy tak mohou plánovat investice s větší mírou předvídatelnosti. Užší ekonomická koordinace se Spojenými státy navíc může japonské podniky motivovat k aktivnější účasti na globálních investičních cyklech.</w:t>
      </w:r>
    </w:p>
    <w:p w14:paraId="570DFA76" w14:textId="77777777" w:rsidR="000433E0" w:rsidRPr="000433E0" w:rsidRDefault="000433E0" w:rsidP="000433E0">
      <w:pPr>
        <w:rPr>
          <w:b/>
          <w:bCs/>
        </w:rPr>
      </w:pPr>
      <w:r w:rsidRPr="000433E0">
        <w:rPr>
          <w:b/>
          <w:bCs/>
        </w:rPr>
        <w:t>Strukturální obrat je již v běhu</w:t>
      </w:r>
    </w:p>
    <w:p w14:paraId="4E4E5E87" w14:textId="77777777" w:rsidR="000433E0" w:rsidRPr="000433E0" w:rsidRDefault="000433E0" w:rsidP="000433E0">
      <w:r w:rsidRPr="000433E0">
        <w:t>Zásadní změny nezačaly s posledními volbami. Japonsko prochází hlubší transformací: roste důraz na kapitálovou efektivitu, ekonomika se vrací k mírné inflaci a firemní zisky vykazují strukturální zlepšení.</w:t>
      </w:r>
    </w:p>
    <w:p w14:paraId="2F8D3CD5" w14:textId="77777777" w:rsidR="000433E0" w:rsidRPr="000433E0" w:rsidRDefault="000433E0" w:rsidP="000433E0">
      <w:r w:rsidRPr="000433E0">
        <w:t>Po třech dekádách deflačního prostředí se ekonomika postupně normalizuje. Firmy zvyšují ceny, mzdy rostou v důsledku dlouhodobého nedostatku pracovních sil a napříč sektory se obnovuje cenová síla. Bank of Japan zároveň postupuje při normalizaci měnové politiky obezřetně – sazby zvyšuje tempem, které má stabilizovat inflační očekávání, aniž by se omezil růst.</w:t>
      </w:r>
    </w:p>
    <w:p w14:paraId="58637E69" w14:textId="77777777" w:rsidR="000433E0" w:rsidRPr="000433E0" w:rsidRDefault="000433E0" w:rsidP="000433E0">
      <w:r w:rsidRPr="000433E0">
        <w:t>Zřetelný posun je patrný i v oblasti korporátní správy. Japonské firmy byly dlouhodobě kritizovány za nízkou návratnost kapitálu a slabý důraz na akcionářskou hodnotu. Od roku 2023 však Tokijská burza systematicky tlačí na zvyšování kapitálové efektivity. Roste výplatní poměr dividend, přibývá zpětných odkupů akcií a transparentnost v řízení firem se zlepšuje. Očekávaná aktualizace kodexu korporátní správy letos může tento trend dále posílit.</w:t>
      </w:r>
    </w:p>
    <w:p w14:paraId="7BF56379" w14:textId="77777777" w:rsidR="000433E0" w:rsidRPr="000433E0" w:rsidRDefault="000433E0" w:rsidP="000433E0">
      <w:r w:rsidRPr="000433E0">
        <w:t>Výsledkem by měl být strukturální růst ziskovosti. Průměrná návratnost vlastního kapitálu (ROE), která se v minulých dvou dekádách pohybovala převážně mezi 6–8 %, by měla podle projekcí dosáhnout 10 % ve fiskálním roce 2026 a 11 % do roku 2028. Pokud se tento trend potvrdí, může se postupně zúžit dlouhodobý valuační diskont japonských akcií vůči globálním trhům.</w:t>
      </w:r>
    </w:p>
    <w:p w14:paraId="0FF6174A" w14:textId="77777777" w:rsidR="000433E0" w:rsidRPr="000433E0" w:rsidRDefault="000433E0" w:rsidP="000433E0"/>
    <w:p w14:paraId="6EE82EF2" w14:textId="77777777" w:rsidR="000433E0" w:rsidRPr="000433E0" w:rsidRDefault="000433E0" w:rsidP="000433E0">
      <w:pPr>
        <w:rPr>
          <w:b/>
          <w:bCs/>
        </w:rPr>
      </w:pPr>
      <w:r w:rsidRPr="000433E0">
        <w:rPr>
          <w:b/>
          <w:bCs/>
        </w:rPr>
        <w:lastRenderedPageBreak/>
        <w:t>Strategická odvětví a fiskální impuls</w:t>
      </w:r>
    </w:p>
    <w:p w14:paraId="5C5DFB8A" w14:textId="77777777" w:rsidR="000433E0" w:rsidRPr="000433E0" w:rsidRDefault="000433E0" w:rsidP="000433E0">
      <w:r w:rsidRPr="000433E0">
        <w:t>Vláda avizovala rozsáhlý stimulační program v řádu bilionů jenů, zaměřený na 17 strategických sektorů – od obrany a prevence katastrof přes kyberbezpečnost a kvantové technologie až po jadernou fúzi. Z toho by mělo těžit zejména stavebnictví, ale i infrastruktura, polovodiče a energetika.</w:t>
      </w:r>
    </w:p>
    <w:p w14:paraId="1C87C044" w14:textId="77777777" w:rsidR="000433E0" w:rsidRPr="000433E0" w:rsidRDefault="000433E0" w:rsidP="000433E0">
      <w:r w:rsidRPr="000433E0">
        <w:t>Příznivé prostředí se rýsuje také pro finanční sektor. Postupná normalizace sazeb zlepšuje úrokové marže a oživení investiční aktivity zvyšuje poptávku po úvěrech. Současně firmy omezují křížové vlastnické vazby a navyšují návratnost kapitálu, což podporuje investice japonských bank a finančních institucí.</w:t>
      </w:r>
    </w:p>
    <w:p w14:paraId="1EE7B018" w14:textId="77777777" w:rsidR="000433E0" w:rsidRPr="000433E0" w:rsidRDefault="000433E0" w:rsidP="000433E0">
      <w:pPr>
        <w:rPr>
          <w:b/>
          <w:bCs/>
        </w:rPr>
      </w:pPr>
      <w:r w:rsidRPr="000433E0">
        <w:rPr>
          <w:b/>
          <w:bCs/>
        </w:rPr>
        <w:t>Rizika zůstávají</w:t>
      </w:r>
    </w:p>
    <w:p w14:paraId="395B55D2" w14:textId="77777777" w:rsidR="000433E0" w:rsidRPr="000433E0" w:rsidRDefault="000433E0" w:rsidP="000433E0">
      <w:r w:rsidRPr="000433E0">
        <w:t>Krátkodobě nelze přehlížet fiskální rizika. Japonsko nese nejvyšší dluhovou zátěž mezi vyspělými ekonomikami. Vláda bude muset vybalancovat sliby o snížení daní a vyšších výdajích s důvěrou dluhopisových investorů. Trvalejší růst výnosů státních dluhopisů by zvýšil diskontní sazbu pro oceňování akcií, stlačil valuace a zpřísnil finanční podmínky.</w:t>
      </w:r>
    </w:p>
    <w:p w14:paraId="7FF82F9A" w14:textId="77777777" w:rsidR="000433E0" w:rsidRPr="000433E0" w:rsidRDefault="000433E0" w:rsidP="000433E0">
      <w:r w:rsidRPr="000433E0">
        <w:t>Trh proto bude v nadcházejících měsících citlivý zejména na strukturu financování fiskálních balíčků a toho, jak pevně jsou nastaveny výstupní mechanismy.</w:t>
      </w:r>
    </w:p>
    <w:p w14:paraId="6F4730BC" w14:textId="77777777" w:rsidR="000433E0" w:rsidRPr="000433E0" w:rsidRDefault="000433E0" w:rsidP="000433E0">
      <w:r w:rsidRPr="000433E0">
        <w:t>Navzdory těmto rizikům však Japonsko vyniká díky kombinaci politické kontinuity a reformního tempa. Pokud se podaří udržet strukturální růst ziskovosti a disciplinovaný přístup k reformám, může se současný optimismus proměnit v dlouhodobější investiční příběh.</w:t>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2"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3B4C8C">
        <w:lastRenderedPageBreak/>
        <w:t>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 xml:space="preserve">Údaje nejsou auditované. Odborníci provádějící průzkum zahrnují společníky a analytiky. Doporučujeme, abyste si před uskutečněním jakéhokoli investičního rozhodnutí opatřili podrobné </w:t>
      </w:r>
      <w:r w:rsidRPr="003B4C8C">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3"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4"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1D0D1632" w:rsidR="00D20058" w:rsidRDefault="0043242A" w:rsidP="0043242A">
      <w:pPr>
        <w:pStyle w:val="F2-zkladn"/>
      </w:pPr>
      <w:r w:rsidRPr="0043242A">
        <w:rPr>
          <w:lang w:val="de-AT"/>
        </w:rPr>
        <w:t>MKAT13556</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B25B" w14:textId="77777777" w:rsidR="0079132B" w:rsidRDefault="0079132B">
      <w:r>
        <w:separator/>
      </w:r>
    </w:p>
  </w:endnote>
  <w:endnote w:type="continuationSeparator" w:id="0">
    <w:p w14:paraId="292A47E9" w14:textId="77777777" w:rsidR="0079132B" w:rsidRDefault="0079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6CCE" w14:textId="77777777" w:rsidR="0079132B" w:rsidRDefault="0079132B">
      <w:r>
        <w:separator/>
      </w:r>
    </w:p>
  </w:footnote>
  <w:footnote w:type="continuationSeparator" w:id="0">
    <w:p w14:paraId="62AC211D" w14:textId="77777777" w:rsidR="0079132B" w:rsidRDefault="0079132B">
      <w:r>
        <w:continuationSeparator/>
      </w:r>
    </w:p>
  </w:footnote>
  <w:footnote w:type="continuationNotice" w:id="1">
    <w:p w14:paraId="2A324895" w14:textId="77777777" w:rsidR="0079132B" w:rsidRDefault="00791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2926"/>
    <w:rsid w:val="000433E0"/>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242A"/>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00FB"/>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001"/>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32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1DC7"/>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340"/>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5B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internation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search/tag/fil/global/authors/miyuki-kashim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ttps/www.fidel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7927</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9252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4</cp:revision>
  <cp:lastPrinted>2015-11-30T16:29:00Z</cp:lastPrinted>
  <dcterms:created xsi:type="dcterms:W3CDTF">2026-02-16T13:58:00Z</dcterms:created>
  <dcterms:modified xsi:type="dcterms:W3CDTF">2026-02-17T13:33:00Z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